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2132" w14:textId="77777777" w:rsidR="000C7681" w:rsidRPr="000C7681" w:rsidRDefault="00250D80" w:rsidP="000C7681">
      <w:pPr>
        <w:jc w:val="center"/>
        <w:rPr>
          <w:rFonts w:asciiTheme="minorHAnsi" w:hAnsiTheme="minorHAnsi" w:cstheme="minorHAnsi"/>
          <w:b/>
        </w:rPr>
      </w:pPr>
      <w:r w:rsidRPr="000C7681">
        <w:rPr>
          <w:rFonts w:asciiTheme="minorHAnsi" w:eastAsiaTheme="minorHAnsi" w:hAnsiTheme="minorHAnsi" w:cstheme="minorHAnsi"/>
        </w:rPr>
        <w:t xml:space="preserve"> </w:t>
      </w:r>
      <w:r w:rsidR="000C7681" w:rsidRPr="000C7681">
        <w:rPr>
          <w:rFonts w:asciiTheme="minorHAnsi" w:hAnsiTheme="minorHAnsi" w:cstheme="minorHAnsi"/>
          <w:b/>
        </w:rPr>
        <w:t>STUDENTI E STUDENTESSE CON DISABILITA’:</w:t>
      </w:r>
    </w:p>
    <w:p w14:paraId="5F353203" w14:textId="0FD2B9B6" w:rsidR="000C7681" w:rsidRDefault="000C7681" w:rsidP="000C7681">
      <w:pPr>
        <w:jc w:val="center"/>
        <w:rPr>
          <w:rFonts w:asciiTheme="minorHAnsi" w:hAnsiTheme="minorHAnsi" w:cstheme="minorHAnsi"/>
          <w:b/>
        </w:rPr>
      </w:pPr>
      <w:r w:rsidRPr="000C7681">
        <w:rPr>
          <w:rFonts w:asciiTheme="minorHAnsi" w:hAnsiTheme="minorHAnsi" w:cstheme="minorHAnsi"/>
          <w:b/>
        </w:rPr>
        <w:t>INDIC</w:t>
      </w:r>
      <w:bookmarkStart w:id="0" w:name="_GoBack"/>
      <w:bookmarkEnd w:id="0"/>
      <w:r w:rsidRPr="000C7681">
        <w:rPr>
          <w:rFonts w:asciiTheme="minorHAnsi" w:hAnsiTheme="minorHAnsi" w:cstheme="minorHAnsi"/>
          <w:b/>
        </w:rPr>
        <w:t>AZIONI PER DOCENTI PER LA DEFINIZIONE DEL TRATTAMENTO INDIVIDUALIZZATO PER LA FREQUENZA DELLE LEZIONI E IL SOSTENIMENTO DEGLI ESAMI</w:t>
      </w:r>
    </w:p>
    <w:p w14:paraId="222B3E68" w14:textId="77777777" w:rsidR="003B2D9E" w:rsidRPr="000C7681" w:rsidRDefault="003B2D9E" w:rsidP="000C7681">
      <w:pPr>
        <w:jc w:val="center"/>
        <w:rPr>
          <w:rFonts w:asciiTheme="minorHAnsi" w:hAnsiTheme="minorHAnsi" w:cstheme="minorHAnsi"/>
          <w:b/>
        </w:rPr>
      </w:pPr>
    </w:p>
    <w:p w14:paraId="16CC756F" w14:textId="77777777" w:rsidR="000C7681" w:rsidRPr="000C7681" w:rsidRDefault="000C7681" w:rsidP="000C7681">
      <w:pPr>
        <w:jc w:val="both"/>
        <w:rPr>
          <w:rFonts w:asciiTheme="minorHAnsi" w:hAnsiTheme="minorHAnsi" w:cstheme="minorHAnsi"/>
          <w:color w:val="555555"/>
        </w:rPr>
      </w:pPr>
    </w:p>
    <w:p w14:paraId="3A2F9A39" w14:textId="77777777" w:rsidR="000C7681" w:rsidRPr="000C7681" w:rsidRDefault="000C7681" w:rsidP="000C7681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284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0C7681">
        <w:rPr>
          <w:rFonts w:asciiTheme="minorHAnsi" w:hAnsiTheme="minorHAnsi" w:cstheme="minorHAnsi"/>
          <w:b/>
          <w:iCs/>
          <w:color w:val="4F81BD" w:themeColor="accent1"/>
        </w:rPr>
        <w:t>ADATTAMENTI</w:t>
      </w:r>
    </w:p>
    <w:p w14:paraId="4F3C4B4E" w14:textId="77777777" w:rsidR="000C7681" w:rsidRPr="000C7681" w:rsidRDefault="000C7681" w:rsidP="000C7681">
      <w:pPr>
        <w:ind w:left="360"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Si riportano, a titolo esemplificativo, alcune tra le modalità più frequentemente utilizzate:</w:t>
      </w:r>
    </w:p>
    <w:p w14:paraId="5721DDEE" w14:textId="77777777" w:rsidR="000C7681" w:rsidRPr="000C7681" w:rsidRDefault="000C7681" w:rsidP="000C7681">
      <w:pPr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u w:val="single"/>
        </w:rPr>
      </w:pPr>
      <w:r w:rsidRPr="000C7681">
        <w:rPr>
          <w:rFonts w:asciiTheme="minorHAnsi" w:hAnsiTheme="minorHAnsi" w:cstheme="minorHAnsi"/>
          <w:u w:val="single"/>
        </w:rPr>
        <w:t>alle lezioni</w:t>
      </w:r>
    </w:p>
    <w:p w14:paraId="494BD132" w14:textId="77777777" w:rsidR="000C7681" w:rsidRPr="000C7681" w:rsidRDefault="000C7681" w:rsidP="000C7681">
      <w:pPr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concessione della registrazione delle lezioni e l’utilizzo di altri strumenti tecnologici;</w:t>
      </w:r>
    </w:p>
    <w:p w14:paraId="7CA54DEB" w14:textId="77777777" w:rsidR="000C7681" w:rsidRPr="000C7681" w:rsidRDefault="000C7681" w:rsidP="000C7681">
      <w:pPr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predisposizione delle lezioni in aule (e banchi) accessibili a studenti con disabilità motorie;</w:t>
      </w:r>
    </w:p>
    <w:p w14:paraId="6CAB19A5" w14:textId="77777777" w:rsidR="000C7681" w:rsidRPr="000C7681" w:rsidRDefault="000C7681" w:rsidP="000C7681">
      <w:pPr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accordo presenza di un interprete LIS;</w:t>
      </w:r>
    </w:p>
    <w:p w14:paraId="7B03B0B8" w14:textId="4796545E" w:rsidR="000C7681" w:rsidRPr="000C7681" w:rsidRDefault="003B2D9E" w:rsidP="000C7681">
      <w:pPr>
        <w:numPr>
          <w:ilvl w:val="0"/>
          <w:numId w:val="44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previsione</w:t>
      </w:r>
      <w:r w:rsidR="000C7681" w:rsidRPr="000C7681">
        <w:rPr>
          <w:rFonts w:asciiTheme="minorHAnsi" w:hAnsiTheme="minorHAnsi" w:cstheme="minorHAnsi"/>
        </w:rPr>
        <w:t xml:space="preserve"> di tempi di ricevimento prolungati a seconda delle necessità della persona;</w:t>
      </w:r>
    </w:p>
    <w:p w14:paraId="579F84B2" w14:textId="77777777" w:rsidR="000C7681" w:rsidRPr="000C7681" w:rsidRDefault="000C7681" w:rsidP="000C7681">
      <w:pPr>
        <w:numPr>
          <w:ilvl w:val="0"/>
          <w:numId w:val="46"/>
        </w:numPr>
        <w:contextualSpacing/>
        <w:jc w:val="both"/>
        <w:rPr>
          <w:rFonts w:asciiTheme="minorHAnsi" w:hAnsiTheme="minorHAnsi" w:cstheme="minorHAnsi"/>
          <w:u w:val="single"/>
        </w:rPr>
      </w:pPr>
      <w:r w:rsidRPr="000C7681">
        <w:rPr>
          <w:rFonts w:asciiTheme="minorHAnsi" w:hAnsiTheme="minorHAnsi" w:cstheme="minorHAnsi"/>
        </w:rPr>
        <w:t>disponibilità di materiali e le slide in anticipo o a fine lezione.</w:t>
      </w:r>
    </w:p>
    <w:p w14:paraId="1DB27243" w14:textId="77777777" w:rsidR="000C7681" w:rsidRPr="000C7681" w:rsidRDefault="000C7681" w:rsidP="000C7681">
      <w:pPr>
        <w:numPr>
          <w:ilvl w:val="0"/>
          <w:numId w:val="45"/>
        </w:numPr>
        <w:contextualSpacing/>
        <w:jc w:val="both"/>
        <w:rPr>
          <w:rFonts w:asciiTheme="minorHAnsi" w:hAnsiTheme="minorHAnsi" w:cstheme="minorHAnsi"/>
          <w:u w:val="single"/>
        </w:rPr>
      </w:pPr>
      <w:r w:rsidRPr="000C7681">
        <w:rPr>
          <w:rFonts w:asciiTheme="minorHAnsi" w:hAnsiTheme="minorHAnsi" w:cstheme="minorHAnsi"/>
          <w:u w:val="single"/>
        </w:rPr>
        <w:t>agli esami</w:t>
      </w:r>
    </w:p>
    <w:p w14:paraId="61D646C2" w14:textId="77777777" w:rsidR="000C7681" w:rsidRPr="000C7681" w:rsidRDefault="000C7681" w:rsidP="000C7681">
      <w:pPr>
        <w:numPr>
          <w:ilvl w:val="0"/>
          <w:numId w:val="42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possibilità di disporre di tempi aggiuntivi;</w:t>
      </w:r>
    </w:p>
    <w:p w14:paraId="7465792F" w14:textId="77777777" w:rsidR="000C7681" w:rsidRPr="000C7681" w:rsidRDefault="000C7681" w:rsidP="000C7681">
      <w:pPr>
        <w:numPr>
          <w:ilvl w:val="0"/>
          <w:numId w:val="42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possibilità di utilizzare specifici mezzi tecnici (Pc, calcolatrice, sintesi vocale, ingranditore, ecc.);</w:t>
      </w:r>
    </w:p>
    <w:p w14:paraId="73E6F1D0" w14:textId="77777777" w:rsidR="000C7681" w:rsidRPr="000C7681" w:rsidRDefault="000C7681" w:rsidP="000C7681">
      <w:pPr>
        <w:numPr>
          <w:ilvl w:val="0"/>
          <w:numId w:val="42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possibilità di fruire di modalità di svolgimento della prova adattate (orale al posto dello scritto o viceversa, suddivisione della prova in più parti, presenza di un tutor lettore o scrittore, ecc.);</w:t>
      </w:r>
    </w:p>
    <w:p w14:paraId="7DD7AE92" w14:textId="71D406B6" w:rsidR="000C7681" w:rsidRPr="000C7681" w:rsidRDefault="000C7681" w:rsidP="000C7681">
      <w:pPr>
        <w:numPr>
          <w:ilvl w:val="0"/>
          <w:numId w:val="42"/>
        </w:numPr>
        <w:tabs>
          <w:tab w:val="center" w:pos="4819"/>
        </w:tabs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 xml:space="preserve">possibilità, in situazioni particolari di </w:t>
      </w:r>
      <w:r w:rsidR="003B2D9E" w:rsidRPr="000C7681">
        <w:rPr>
          <w:rFonts w:asciiTheme="minorHAnsi" w:hAnsiTheme="minorHAnsi" w:cstheme="minorHAnsi"/>
        </w:rPr>
        <w:t>salute opportunamente</w:t>
      </w:r>
      <w:r w:rsidRPr="000C7681">
        <w:rPr>
          <w:rFonts w:asciiTheme="minorHAnsi" w:hAnsiTheme="minorHAnsi" w:cstheme="minorHAnsi"/>
        </w:rPr>
        <w:t xml:space="preserve"> documentate, di concordare date alternative per sostenere la prova;</w:t>
      </w:r>
    </w:p>
    <w:p w14:paraId="56511A8A" w14:textId="68438D0E" w:rsidR="000C7681" w:rsidRPr="000C7681" w:rsidRDefault="003B2D9E" w:rsidP="000C7681">
      <w:pPr>
        <w:numPr>
          <w:ilvl w:val="0"/>
          <w:numId w:val="42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possibilità</w:t>
      </w:r>
      <w:r w:rsidR="000C7681" w:rsidRPr="000C7681">
        <w:rPr>
          <w:rFonts w:asciiTheme="minorHAnsi" w:hAnsiTheme="minorHAnsi" w:cstheme="minorHAnsi"/>
        </w:rPr>
        <w:t xml:space="preserve">, in casi concordati con il Servizio, </w:t>
      </w:r>
      <w:r w:rsidRPr="000C7681">
        <w:rPr>
          <w:rFonts w:asciiTheme="minorHAnsi" w:hAnsiTheme="minorHAnsi" w:cstheme="minorHAnsi"/>
        </w:rPr>
        <w:t>di concedere</w:t>
      </w:r>
      <w:r w:rsidR="000C7681" w:rsidRPr="000C7681">
        <w:rPr>
          <w:rFonts w:asciiTheme="minorHAnsi" w:hAnsiTheme="minorHAnsi" w:cstheme="minorHAnsi"/>
        </w:rPr>
        <w:t xml:space="preserve"> il sostenimento di esami a distanza.</w:t>
      </w:r>
    </w:p>
    <w:p w14:paraId="0073F196" w14:textId="77777777" w:rsidR="000C7681" w:rsidRPr="000C7681" w:rsidRDefault="000C7681" w:rsidP="000C7681">
      <w:pPr>
        <w:jc w:val="both"/>
        <w:rPr>
          <w:rFonts w:asciiTheme="minorHAnsi" w:hAnsiTheme="minorHAnsi" w:cstheme="minorHAnsi"/>
          <w:color w:val="555555"/>
        </w:rPr>
      </w:pPr>
    </w:p>
    <w:p w14:paraId="6F69529F" w14:textId="77777777" w:rsidR="000C7681" w:rsidRPr="000C7681" w:rsidRDefault="000C7681" w:rsidP="000C7681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426" w:firstLine="438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0C7681">
        <w:rPr>
          <w:rFonts w:asciiTheme="minorHAnsi" w:hAnsiTheme="minorHAnsi" w:cstheme="minorHAnsi"/>
          <w:b/>
          <w:iCs/>
          <w:color w:val="4F81BD" w:themeColor="accent1"/>
        </w:rPr>
        <w:t>RACCOMANDAZIONI</w:t>
      </w:r>
    </w:p>
    <w:p w14:paraId="36939A5E" w14:textId="77777777" w:rsidR="000C7681" w:rsidRPr="000C7681" w:rsidRDefault="000C7681" w:rsidP="000C7681">
      <w:pPr>
        <w:tabs>
          <w:tab w:val="left" w:pos="1875"/>
        </w:tabs>
        <w:jc w:val="both"/>
        <w:rPr>
          <w:rFonts w:asciiTheme="minorHAnsi" w:hAnsiTheme="minorHAnsi" w:cstheme="minorHAnsi"/>
          <w:color w:val="555555"/>
        </w:rPr>
      </w:pPr>
    </w:p>
    <w:p w14:paraId="5795E4AF" w14:textId="77777777" w:rsidR="000C7681" w:rsidRPr="000C7681" w:rsidRDefault="000C7681" w:rsidP="000C7681">
      <w:pPr>
        <w:numPr>
          <w:ilvl w:val="0"/>
          <w:numId w:val="47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È opportuno garantire per quanto possibile la privacy di chi usufruisce degli adattamenti.</w:t>
      </w:r>
    </w:p>
    <w:p w14:paraId="2C72F3EE" w14:textId="77777777" w:rsidR="000C7681" w:rsidRPr="000C7681" w:rsidRDefault="000C7681" w:rsidP="000C7681">
      <w:pPr>
        <w:numPr>
          <w:ilvl w:val="0"/>
          <w:numId w:val="47"/>
        </w:num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C7681">
        <w:rPr>
          <w:rFonts w:asciiTheme="minorHAnsi" w:hAnsiTheme="minorHAnsi" w:cstheme="minorHAnsi"/>
        </w:rPr>
        <w:t xml:space="preserve">Da considerare infine che alla possibilità d’uso degli ausili tecnologici da parte degli studenti con DSA deve accompagnarsi la disponibilità di materiale didattico accessibile. </w:t>
      </w:r>
      <w:r w:rsidRPr="000C7681">
        <w:rPr>
          <w:rFonts w:asciiTheme="minorHAnsi" w:hAnsiTheme="minorHAnsi" w:cstheme="minorHAnsi"/>
          <w:color w:val="000000" w:themeColor="text1"/>
        </w:rPr>
        <w:t xml:space="preserve">Attraverso la </w:t>
      </w:r>
      <w:r w:rsidRPr="000C7681">
        <w:rPr>
          <w:rFonts w:asciiTheme="minorHAnsi" w:hAnsiTheme="minorHAnsi" w:cstheme="minorHAnsi"/>
          <w:i/>
          <w:iCs/>
          <w:color w:val="000000" w:themeColor="text1"/>
        </w:rPr>
        <w:t>Guida pratica per la creazione di documenti accessibili</w:t>
      </w:r>
      <w:r w:rsidRPr="000C7681">
        <w:rPr>
          <w:rFonts w:asciiTheme="minorHAnsi" w:hAnsiTheme="minorHAnsi" w:cstheme="minorHAnsi"/>
          <w:color w:val="000000" w:themeColor="text1"/>
        </w:rPr>
        <w:t xml:space="preserve"> è possibile preparare materiale didattico accessibile a tutti - quindi anche a coloro che necessitano di tecnologie assistive o configurazioni particolari per accedervi - a supporto dei propri insegnamenti.</w:t>
      </w:r>
    </w:p>
    <w:p w14:paraId="3AEA94D7" w14:textId="0AACAEEE" w:rsidR="000C7681" w:rsidRDefault="000C7681" w:rsidP="000C7681">
      <w:pPr>
        <w:jc w:val="center"/>
        <w:rPr>
          <w:rFonts w:asciiTheme="minorHAnsi" w:hAnsiTheme="minorHAnsi" w:cstheme="minorHAnsi"/>
          <w:color w:val="464F73"/>
          <w:u w:val="single"/>
          <w:bdr w:val="none" w:sz="0" w:space="0" w:color="auto" w:frame="1"/>
        </w:rPr>
      </w:pPr>
      <w:r w:rsidRPr="000C7681">
        <w:rPr>
          <w:rFonts w:asciiTheme="minorHAnsi" w:hAnsiTheme="minorHAnsi" w:cstheme="minorHAnsi"/>
          <w:color w:val="464F73"/>
          <w:u w:val="single"/>
          <w:bdr w:val="none" w:sz="0" w:space="0" w:color="auto" w:frame="1"/>
        </w:rPr>
        <w:t>Guida pratica per la creazione di documenti accessibili A.A. 2017/2018</w:t>
      </w:r>
    </w:p>
    <w:p w14:paraId="1DBF89D3" w14:textId="19007A2A" w:rsidR="003B2D9E" w:rsidRDefault="003B2D9E" w:rsidP="000C7681">
      <w:pPr>
        <w:jc w:val="center"/>
        <w:rPr>
          <w:rFonts w:asciiTheme="minorHAnsi" w:hAnsiTheme="minorHAnsi" w:cstheme="minorHAnsi"/>
          <w:color w:val="464F73"/>
          <w:u w:val="single"/>
          <w:bdr w:val="none" w:sz="0" w:space="0" w:color="auto" w:frame="1"/>
        </w:rPr>
      </w:pPr>
    </w:p>
    <w:p w14:paraId="0E0159D6" w14:textId="77777777" w:rsidR="003B2D9E" w:rsidRPr="000C7681" w:rsidRDefault="003B2D9E" w:rsidP="003B2D9E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426" w:right="141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0C7681">
        <w:rPr>
          <w:rFonts w:asciiTheme="minorHAnsi" w:hAnsiTheme="minorHAnsi" w:cstheme="minorHAnsi"/>
          <w:b/>
          <w:iCs/>
          <w:color w:val="4F81BD" w:themeColor="accent1"/>
        </w:rPr>
        <w:lastRenderedPageBreak/>
        <w:t>ITER</w:t>
      </w:r>
    </w:p>
    <w:p w14:paraId="64E02588" w14:textId="77777777" w:rsidR="003B2D9E" w:rsidRPr="000C7681" w:rsidRDefault="003B2D9E" w:rsidP="003B2D9E">
      <w:pPr>
        <w:jc w:val="both"/>
        <w:rPr>
          <w:rFonts w:asciiTheme="minorHAnsi" w:hAnsiTheme="minorHAnsi" w:cstheme="minorHAnsi"/>
        </w:rPr>
      </w:pPr>
    </w:p>
    <w:p w14:paraId="060CB47E" w14:textId="77777777" w:rsidR="003B2D9E" w:rsidRPr="000C7681" w:rsidRDefault="003B2D9E" w:rsidP="003B2D9E">
      <w:pPr>
        <w:ind w:left="360"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A seguito della richiesta pervenuta al Servizio da parte della studentessa o dello studente con disabilità, debitamente certificata</w:t>
      </w:r>
      <w:r w:rsidRPr="000C7681">
        <w:rPr>
          <w:rFonts w:asciiTheme="minorHAnsi" w:hAnsiTheme="minorHAnsi" w:cstheme="minorHAnsi"/>
          <w:vertAlign w:val="superscript"/>
        </w:rPr>
        <w:footnoteReference w:id="1"/>
      </w:r>
      <w:r w:rsidRPr="000C7681">
        <w:rPr>
          <w:rFonts w:asciiTheme="minorHAnsi" w:hAnsiTheme="minorHAnsi" w:cstheme="minorHAnsi"/>
        </w:rPr>
        <w:t>, il Servizio segnala ai/alle docenti interessati/e - tramite e-mail - la necessità di definire il trattamento individualizzato in sede di frequenza alle lezioni e in sede d'esame.</w:t>
      </w:r>
    </w:p>
    <w:p w14:paraId="3074F056" w14:textId="77777777" w:rsidR="003B2D9E" w:rsidRPr="000C7681" w:rsidRDefault="003B2D9E" w:rsidP="003B2D9E">
      <w:pPr>
        <w:ind w:left="360"/>
        <w:jc w:val="both"/>
        <w:rPr>
          <w:rFonts w:asciiTheme="minorHAnsi" w:hAnsiTheme="minorHAnsi" w:cstheme="minorHAnsi"/>
        </w:rPr>
      </w:pPr>
    </w:p>
    <w:p w14:paraId="1134CD51" w14:textId="77777777" w:rsidR="003B2D9E" w:rsidRPr="000C7681" w:rsidRDefault="003B2D9E" w:rsidP="003B2D9E">
      <w:pPr>
        <w:ind w:left="360"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Sulla base delle indicazioni ricevute dal Servizio relative al caso specifico, dell'eventuale contatto diretto con la persona richiedente il supporto e dei contenuti della materia, il/la docente definisce la modalità d'esame più idonea.</w:t>
      </w:r>
    </w:p>
    <w:p w14:paraId="31B54723" w14:textId="77777777" w:rsidR="003B2D9E" w:rsidRPr="000C7681" w:rsidRDefault="003B2D9E" w:rsidP="003B2D9E">
      <w:pPr>
        <w:ind w:left="360"/>
        <w:jc w:val="both"/>
        <w:rPr>
          <w:rFonts w:asciiTheme="minorHAnsi" w:hAnsiTheme="minorHAnsi" w:cstheme="minorHAnsi"/>
        </w:rPr>
      </w:pPr>
    </w:p>
    <w:p w14:paraId="1276D1B9" w14:textId="77777777" w:rsidR="003B2D9E" w:rsidRPr="000C7681" w:rsidRDefault="003B2D9E" w:rsidP="003B2D9E">
      <w:pPr>
        <w:ind w:left="360"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I/le docenti, inoltre, possono richiedere direttamente la consulenza del Servizio Disabilità nel caso in cui:</w:t>
      </w:r>
    </w:p>
    <w:p w14:paraId="73586F09" w14:textId="77777777" w:rsidR="003B2D9E" w:rsidRPr="000C7681" w:rsidRDefault="003B2D9E" w:rsidP="003B2D9E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la studentessa o lo studente con disabilità segnali direttamente alla/al docente le proprie esigenze senza l'intermediazione del Servizio;</w:t>
      </w:r>
    </w:p>
    <w:p w14:paraId="22A89B64" w14:textId="77777777" w:rsidR="003B2D9E" w:rsidRPr="000C7681" w:rsidRDefault="003B2D9E" w:rsidP="003B2D9E">
      <w:pPr>
        <w:numPr>
          <w:ilvl w:val="0"/>
          <w:numId w:val="40"/>
        </w:numPr>
        <w:contextualSpacing/>
        <w:jc w:val="both"/>
        <w:rPr>
          <w:rFonts w:asciiTheme="minorHAnsi" w:eastAsiaTheme="minorHAnsi" w:hAnsiTheme="minorHAnsi" w:cstheme="minorHAnsi"/>
        </w:rPr>
      </w:pPr>
      <w:r w:rsidRPr="000C7681">
        <w:rPr>
          <w:rFonts w:asciiTheme="minorHAnsi" w:hAnsiTheme="minorHAnsi" w:cstheme="minorHAnsi"/>
        </w:rPr>
        <w:t>siano necessari chiarimenti sulla certificazione di invalidità/handicap della persona richiedente e sulla normativa vigente in ambito universitario.</w:t>
      </w:r>
      <w:r w:rsidRPr="000C7681">
        <w:rPr>
          <w:rFonts w:asciiTheme="minorHAnsi" w:eastAsiaTheme="minorHAnsi" w:hAnsiTheme="minorHAnsi" w:cstheme="minorHAnsi"/>
        </w:rPr>
        <w:t xml:space="preserve"> </w:t>
      </w:r>
    </w:p>
    <w:p w14:paraId="52FAF625" w14:textId="259DD997" w:rsidR="000C7681" w:rsidRPr="000C7681" w:rsidRDefault="000C7681" w:rsidP="000C7681">
      <w:pPr>
        <w:jc w:val="center"/>
        <w:rPr>
          <w:rFonts w:asciiTheme="minorHAnsi" w:hAnsiTheme="minorHAnsi" w:cstheme="minorHAnsi"/>
          <w:color w:val="464F73"/>
          <w:u w:val="single"/>
          <w:bdr w:val="none" w:sz="0" w:space="0" w:color="auto" w:frame="1"/>
        </w:rPr>
      </w:pPr>
    </w:p>
    <w:p w14:paraId="046613B1" w14:textId="77777777" w:rsidR="000C7681" w:rsidRPr="000C7681" w:rsidRDefault="000C7681" w:rsidP="000C7681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426"/>
        <w:jc w:val="center"/>
        <w:rPr>
          <w:rFonts w:asciiTheme="minorHAnsi" w:hAnsiTheme="minorHAnsi" w:cstheme="minorHAnsi"/>
          <w:b/>
          <w:iCs/>
          <w:color w:val="4F81BD" w:themeColor="accent1"/>
        </w:rPr>
      </w:pPr>
      <w:r w:rsidRPr="000C7681">
        <w:rPr>
          <w:rFonts w:asciiTheme="minorHAnsi" w:hAnsiTheme="minorHAnsi" w:cstheme="minorHAnsi"/>
          <w:b/>
          <w:iCs/>
          <w:color w:val="4F81BD" w:themeColor="accent1"/>
        </w:rPr>
        <w:t>RIFERIMENTI NORMATIVI</w:t>
      </w:r>
    </w:p>
    <w:p w14:paraId="5B0E0EB8" w14:textId="77777777" w:rsidR="000C7681" w:rsidRPr="000C7681" w:rsidRDefault="000C7681" w:rsidP="000C7681">
      <w:pPr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La l.  5 febbraio 1992, n. 104  Legge-quadro per l'assistenza, l'integrazione sociale e i diritti delle persone handicappate come modificata dalla l.17/99 (Integrazione e modifica della legge-quadro 5 febbraio 1992, n. 104, per l'assistenza, l'integrazione sociale e i diritti delle persone handicappate) prevede:</w:t>
      </w:r>
    </w:p>
    <w:p w14:paraId="45578322" w14:textId="77777777" w:rsidR="000C7681" w:rsidRPr="000C7681" w:rsidRDefault="000C7681" w:rsidP="000C7681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643CD69E" w14:textId="5349F0BA" w:rsidR="000C7681" w:rsidRDefault="000C7681" w:rsidP="00D55BDB">
      <w:pPr>
        <w:numPr>
          <w:ilvl w:val="0"/>
          <w:numId w:val="48"/>
        </w:numPr>
        <w:ind w:left="1134"/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 xml:space="preserve">art. 13 Integrazione scolastica (…) 6-bis. Agli studenti handicappati iscritti </w:t>
      </w:r>
      <w:r w:rsidR="003B2D9E" w:rsidRPr="003B2D9E">
        <w:rPr>
          <w:rFonts w:asciiTheme="minorHAnsi" w:hAnsiTheme="minorHAnsi" w:cstheme="minorHAnsi"/>
        </w:rPr>
        <w:t>all’università</w:t>
      </w:r>
      <w:r w:rsidRPr="000C7681">
        <w:rPr>
          <w:rFonts w:asciiTheme="minorHAnsi" w:hAnsiTheme="minorHAnsi" w:cstheme="minorHAnsi"/>
        </w:rPr>
        <w:t xml:space="preserve"> sono garantiti sussidi tecnici e didattici specifici, realizzati anche attraverso le convenzioni di cui alla lettera b) del comma 1, </w:t>
      </w:r>
      <w:r w:rsidR="003B2D9E" w:rsidRPr="003B2D9E">
        <w:rPr>
          <w:rFonts w:asciiTheme="minorHAnsi" w:hAnsiTheme="minorHAnsi" w:cstheme="minorHAnsi"/>
        </w:rPr>
        <w:t>nonché</w:t>
      </w:r>
      <w:r w:rsidRPr="000C7681">
        <w:rPr>
          <w:rFonts w:asciiTheme="minorHAnsi" w:hAnsiTheme="minorHAnsi" w:cstheme="minorHAnsi"/>
        </w:rPr>
        <w:t xml:space="preserve">' il supporto di appositi servizi di tutorato specializzato, istituiti dalle </w:t>
      </w:r>
      <w:r w:rsidR="003B2D9E" w:rsidRPr="003B2D9E">
        <w:rPr>
          <w:rFonts w:asciiTheme="minorHAnsi" w:hAnsiTheme="minorHAnsi" w:cstheme="minorHAnsi"/>
        </w:rPr>
        <w:t>università</w:t>
      </w:r>
      <w:r w:rsidRPr="000C7681">
        <w:rPr>
          <w:rFonts w:asciiTheme="minorHAnsi" w:hAnsiTheme="minorHAnsi" w:cstheme="minorHAnsi"/>
        </w:rPr>
        <w:t xml:space="preserve"> nei limiti del proprio bilancio e delle risorse destinate alla copertura degli oneri di cui al presente comma, </w:t>
      </w:r>
      <w:r w:rsidR="003B2D9E" w:rsidRPr="003B2D9E">
        <w:rPr>
          <w:rFonts w:asciiTheme="minorHAnsi" w:hAnsiTheme="minorHAnsi" w:cstheme="minorHAnsi"/>
        </w:rPr>
        <w:t>nonché</w:t>
      </w:r>
      <w:r w:rsidRPr="000C7681">
        <w:rPr>
          <w:rFonts w:asciiTheme="minorHAnsi" w:hAnsiTheme="minorHAnsi" w:cstheme="minorHAnsi"/>
        </w:rPr>
        <w:t>' ai commi 5 e 5-bis dell'articolo 16".</w:t>
      </w:r>
    </w:p>
    <w:p w14:paraId="2F7F74C9" w14:textId="77777777" w:rsidR="000C7681" w:rsidRPr="000C7681" w:rsidRDefault="000C7681" w:rsidP="000C7681">
      <w:pPr>
        <w:numPr>
          <w:ilvl w:val="0"/>
          <w:numId w:val="48"/>
        </w:numPr>
        <w:ind w:left="1134"/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art. 16 Valutazione del rendimento e prove di esame (…)</w:t>
      </w:r>
    </w:p>
    <w:p w14:paraId="47B00674" w14:textId="77777777" w:rsidR="000C7681" w:rsidRPr="000C7681" w:rsidRDefault="000C7681" w:rsidP="003B2D9E">
      <w:pPr>
        <w:numPr>
          <w:ilvl w:val="0"/>
          <w:numId w:val="50"/>
        </w:numPr>
        <w:ind w:left="1276" w:hanging="142"/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 xml:space="preserve">5. Il trattamento individualizzato previsto dai commi 3 e 4 in favore degli studenti handicappati è consentito per il superamento degli esami universitari previa intesa con il docente della materia e con l'ausilio del servizio di tutorato di cui all'articolo 13, comma 6-bis. È consentito, altresì, sia l'impiego di specifici mezzi tecnici in relazione </w:t>
      </w:r>
      <w:r w:rsidRPr="000C7681">
        <w:rPr>
          <w:rFonts w:asciiTheme="minorHAnsi" w:hAnsiTheme="minorHAnsi" w:cstheme="minorHAnsi"/>
        </w:rPr>
        <w:lastRenderedPageBreak/>
        <w:t>alla tipologia di handicap, sia la possibilità di svolgere prove equipollenti su proposta del servizio di tutorato specializzato.</w:t>
      </w:r>
    </w:p>
    <w:p w14:paraId="46F47C43" w14:textId="77777777" w:rsidR="000C7681" w:rsidRPr="000C7681" w:rsidRDefault="000C7681" w:rsidP="003B2D9E">
      <w:pPr>
        <w:numPr>
          <w:ilvl w:val="0"/>
          <w:numId w:val="50"/>
        </w:numPr>
        <w:ind w:left="1276" w:hanging="142"/>
        <w:contextualSpacing/>
        <w:jc w:val="both"/>
        <w:rPr>
          <w:rFonts w:asciiTheme="minorHAnsi" w:hAnsiTheme="minorHAnsi" w:cstheme="minorHAnsi"/>
        </w:rPr>
      </w:pPr>
      <w:r w:rsidRPr="000C7681">
        <w:rPr>
          <w:rFonts w:asciiTheme="minorHAnsi" w:hAnsiTheme="minorHAnsi" w:cstheme="minorHAnsi"/>
        </w:rPr>
        <w:t>5-bis. Le università, con proprie disposizioni, istituiscono un docente delegato dal rettore con funzioni di coordinamento, monitoraggio e supporto di tutte le iniziative concernenti l'integrazione nell'ambito dell'ateneo.</w:t>
      </w:r>
    </w:p>
    <w:p w14:paraId="2C4FF44D" w14:textId="77777777" w:rsidR="000C7681" w:rsidRPr="000C7681" w:rsidRDefault="000C7681" w:rsidP="000C7681">
      <w:pPr>
        <w:ind w:left="720"/>
        <w:contextualSpacing/>
        <w:jc w:val="both"/>
        <w:rPr>
          <w:rFonts w:asciiTheme="minorHAnsi" w:hAnsiTheme="minorHAnsi" w:cstheme="minorHAnsi"/>
        </w:rPr>
      </w:pPr>
    </w:p>
    <w:p w14:paraId="125BFF46" w14:textId="77777777" w:rsidR="000C7681" w:rsidRPr="000C7681" w:rsidRDefault="00E21D2F" w:rsidP="000C7681">
      <w:pPr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</w:rPr>
      </w:pPr>
      <w:hyperlink r:id="rId8" w:history="1">
        <w:r w:rsidR="000C7681" w:rsidRPr="000C7681">
          <w:rPr>
            <w:rFonts w:asciiTheme="minorHAnsi" w:hAnsiTheme="minorHAnsi" w:cstheme="minorHAnsi"/>
            <w:color w:val="0088CC"/>
          </w:rPr>
          <w:t>Linee guida CNUDD 2014 (Conferenza Nazionale Universitaria Delegati per la Disabilità)</w:t>
        </w:r>
      </w:hyperlink>
    </w:p>
    <w:p w14:paraId="6E5CD6FA" w14:textId="77777777" w:rsidR="000C7681" w:rsidRPr="000C7681" w:rsidRDefault="00E21D2F" w:rsidP="000C7681">
      <w:pPr>
        <w:numPr>
          <w:ilvl w:val="0"/>
          <w:numId w:val="41"/>
        </w:numPr>
        <w:contextualSpacing/>
        <w:jc w:val="both"/>
        <w:rPr>
          <w:rFonts w:asciiTheme="minorHAnsi" w:hAnsiTheme="minorHAnsi" w:cstheme="minorHAnsi"/>
        </w:rPr>
      </w:pPr>
      <w:hyperlink r:id="rId9" w:history="1">
        <w:r w:rsidR="000C7681" w:rsidRPr="000C7681">
          <w:rPr>
            <w:rFonts w:asciiTheme="minorHAnsi" w:hAnsiTheme="minorHAnsi" w:cstheme="minorHAnsi"/>
            <w:color w:val="0088CC"/>
          </w:rPr>
          <w:t>Carta dei servizi per la comunità universitaria con disabilità e DSA</w:t>
        </w:r>
      </w:hyperlink>
    </w:p>
    <w:p w14:paraId="7AB017A6" w14:textId="77777777" w:rsidR="000C7681" w:rsidRPr="000C7681" w:rsidRDefault="000C7681" w:rsidP="000C7681">
      <w:pPr>
        <w:jc w:val="both"/>
        <w:rPr>
          <w:rFonts w:asciiTheme="minorHAnsi" w:hAnsiTheme="minorHAnsi" w:cstheme="minorHAnsi"/>
        </w:rPr>
      </w:pPr>
    </w:p>
    <w:sectPr w:rsidR="000C7681" w:rsidRPr="000C7681" w:rsidSect="00AB2B2B">
      <w:headerReference w:type="default" r:id="rId10"/>
      <w:footerReference w:type="default" r:id="rId11"/>
      <w:pgSz w:w="11906" w:h="16838"/>
      <w:pgMar w:top="1417" w:right="1134" w:bottom="1134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AB26D" w14:textId="77777777" w:rsidR="00E21D2F" w:rsidRDefault="00E21D2F">
      <w:r>
        <w:separator/>
      </w:r>
    </w:p>
  </w:endnote>
  <w:endnote w:type="continuationSeparator" w:id="0">
    <w:p w14:paraId="2531A106" w14:textId="77777777" w:rsidR="00E21D2F" w:rsidRDefault="00E2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02004"/>
      <w:docPartObj>
        <w:docPartGallery w:val="Page Numbers (Bottom of Page)"/>
        <w:docPartUnique/>
      </w:docPartObj>
    </w:sdtPr>
    <w:sdtEndPr/>
    <w:sdtContent>
      <w:p w14:paraId="4A3CC7AF" w14:textId="30B4593D" w:rsidR="00053A70" w:rsidRDefault="00053A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67">
          <w:rPr>
            <w:noProof/>
          </w:rPr>
          <w:t>3</w:t>
        </w:r>
        <w:r>
          <w:fldChar w:fldCharType="end"/>
        </w:r>
      </w:p>
    </w:sdtContent>
  </w:sdt>
  <w:p w14:paraId="5DB39BF9" w14:textId="77777777" w:rsidR="00053A70" w:rsidRDefault="00053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268B" w14:textId="77777777" w:rsidR="00E21D2F" w:rsidRDefault="00E21D2F">
      <w:r>
        <w:separator/>
      </w:r>
    </w:p>
  </w:footnote>
  <w:footnote w:type="continuationSeparator" w:id="0">
    <w:p w14:paraId="5C7A30E0" w14:textId="77777777" w:rsidR="00E21D2F" w:rsidRDefault="00E21D2F">
      <w:r>
        <w:continuationSeparator/>
      </w:r>
    </w:p>
  </w:footnote>
  <w:footnote w:id="1">
    <w:p w14:paraId="395E0D31" w14:textId="0AE19927" w:rsidR="003B2D9E" w:rsidRDefault="003B2D9E" w:rsidP="003B2D9E">
      <w:pPr>
        <w:pStyle w:val="Testonotaapidipagina"/>
      </w:pPr>
      <w:r>
        <w:rPr>
          <w:rStyle w:val="Rimandonotaapidipagina"/>
        </w:rPr>
        <w:footnoteRef/>
      </w:r>
      <w:r>
        <w:t xml:space="preserve"> Considerata la variabilità di tipologie di disabilità il Servizio individua dopo aver esaminato la certificazione gli adattamenti coerenti con la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053A70" w14:paraId="596142B4" w14:textId="77777777" w:rsidTr="00393AE6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364871D9" w14:textId="3A3E1B19" w:rsidR="00053A70" w:rsidRDefault="00053A70" w:rsidP="00482C66">
          <w:pPr>
            <w:pStyle w:val="Intestazione"/>
          </w:pPr>
          <w:r>
            <w:rPr>
              <w:noProof/>
            </w:rPr>
            <w:drawing>
              <wp:inline distT="0" distB="0" distL="0" distR="0" wp14:anchorId="7F8858F7" wp14:editId="7BA26B4A">
                <wp:extent cx="1711631" cy="711200"/>
                <wp:effectExtent l="0" t="0" r="3175" b="0"/>
      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14445485" w14:textId="1A093C3E" w:rsidR="00053A70" w:rsidRPr="00482C66" w:rsidRDefault="00053A70" w:rsidP="00AB23E1">
          <w:pPr>
            <w:spacing w:before="14" w:line="254" w:lineRule="auto"/>
            <w:ind w:left="153"/>
            <w:rPr>
              <w:rFonts w:ascii="Arial" w:hAnsi="Arial" w:cs="Arial"/>
            </w:rPr>
          </w:pPr>
          <w:r w:rsidRPr="007B0944">
            <w:rPr>
              <w:rFonts w:ascii="Arial" w:hAnsi="Arial" w:cs="Arial"/>
            </w:rPr>
            <w:t>Coordinamento politiche pari opportunità e disabilità</w:t>
          </w:r>
        </w:p>
      </w:tc>
      <w:tc>
        <w:tcPr>
          <w:tcW w:w="3402" w:type="dxa"/>
        </w:tcPr>
        <w:p w14:paraId="124613F6" w14:textId="185E395F" w:rsidR="00053A70" w:rsidRDefault="00053A70" w:rsidP="00FE705F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DBCD29C" w14:textId="4E4308BD" w:rsidR="00053A70" w:rsidRDefault="00053A70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7CB30A62" w14:textId="00462D6F" w:rsidR="004A5867" w:rsidRDefault="004A5867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0532 293224</w:t>
          </w:r>
        </w:p>
        <w:p w14:paraId="2A9CCFD3" w14:textId="4CCB88CE" w:rsidR="004A5867" w:rsidRPr="00482C66" w:rsidRDefault="004A5867" w:rsidP="00482C66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inclusione@unife.it</w:t>
          </w:r>
        </w:p>
        <w:p w14:paraId="0B5AB5B5" w14:textId="0017F2B7" w:rsidR="00053A70" w:rsidRDefault="00053A70" w:rsidP="00482C66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r w:rsidRPr="00D92094">
            <w:rPr>
              <w:rFonts w:ascii="Arial" w:hAnsi="Arial" w:cs="Arial"/>
              <w:b/>
              <w:sz w:val="15"/>
              <w:szCs w:val="15"/>
            </w:rPr>
            <w:t>www.unife.it</w:t>
          </w:r>
        </w:p>
        <w:p w14:paraId="1C6B3F1F" w14:textId="42A9E8F4" w:rsidR="00053A70" w:rsidRPr="00482C66" w:rsidRDefault="00053A70" w:rsidP="00482C66">
          <w:pPr>
            <w:pStyle w:val="Intestazione"/>
            <w:rPr>
              <w:b/>
            </w:rPr>
          </w:pPr>
        </w:p>
      </w:tc>
    </w:tr>
  </w:tbl>
  <w:p w14:paraId="0B3E6260" w14:textId="1D1271D1" w:rsidR="00053A70" w:rsidRDefault="00053A70" w:rsidP="00AB2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572"/>
    <w:multiLevelType w:val="hybridMultilevel"/>
    <w:tmpl w:val="E7BA8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363A"/>
    <w:multiLevelType w:val="hybridMultilevel"/>
    <w:tmpl w:val="2E0A88F2"/>
    <w:lvl w:ilvl="0" w:tplc="5776A9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818F9"/>
    <w:multiLevelType w:val="hybridMultilevel"/>
    <w:tmpl w:val="6040DD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4E4F"/>
    <w:multiLevelType w:val="hybridMultilevel"/>
    <w:tmpl w:val="C6DA2402"/>
    <w:lvl w:ilvl="0" w:tplc="041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275E15"/>
    <w:multiLevelType w:val="hybridMultilevel"/>
    <w:tmpl w:val="222EBB32"/>
    <w:lvl w:ilvl="0" w:tplc="5776A9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D61F1"/>
    <w:multiLevelType w:val="hybridMultilevel"/>
    <w:tmpl w:val="6D4EDABE"/>
    <w:lvl w:ilvl="0" w:tplc="46466C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85AEB"/>
    <w:multiLevelType w:val="hybridMultilevel"/>
    <w:tmpl w:val="4F6A245A"/>
    <w:lvl w:ilvl="0" w:tplc="46466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5D37"/>
    <w:multiLevelType w:val="hybridMultilevel"/>
    <w:tmpl w:val="BF5A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076FE"/>
    <w:multiLevelType w:val="hybridMultilevel"/>
    <w:tmpl w:val="6EAEA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85383"/>
    <w:multiLevelType w:val="hybridMultilevel"/>
    <w:tmpl w:val="42E6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3E4"/>
    <w:multiLevelType w:val="hybridMultilevel"/>
    <w:tmpl w:val="4122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301B2"/>
    <w:multiLevelType w:val="hybridMultilevel"/>
    <w:tmpl w:val="6AEE9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799A"/>
    <w:multiLevelType w:val="hybridMultilevel"/>
    <w:tmpl w:val="92E2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93906"/>
    <w:multiLevelType w:val="hybridMultilevel"/>
    <w:tmpl w:val="D450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9343C"/>
    <w:multiLevelType w:val="hybridMultilevel"/>
    <w:tmpl w:val="1DCC9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6484E"/>
    <w:multiLevelType w:val="hybridMultilevel"/>
    <w:tmpl w:val="1EE46518"/>
    <w:lvl w:ilvl="0" w:tplc="04100005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 w15:restartNumberingAfterBreak="0">
    <w:nsid w:val="32564F5E"/>
    <w:multiLevelType w:val="hybridMultilevel"/>
    <w:tmpl w:val="0A445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D121B"/>
    <w:multiLevelType w:val="hybridMultilevel"/>
    <w:tmpl w:val="9E605D42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7AB3"/>
    <w:multiLevelType w:val="hybridMultilevel"/>
    <w:tmpl w:val="D3D0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16BA2"/>
    <w:multiLevelType w:val="hybridMultilevel"/>
    <w:tmpl w:val="F8846C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90104F"/>
    <w:multiLevelType w:val="hybridMultilevel"/>
    <w:tmpl w:val="BDC82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C2F58"/>
    <w:multiLevelType w:val="hybridMultilevel"/>
    <w:tmpl w:val="1C3A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544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B61FB"/>
    <w:multiLevelType w:val="hybridMultilevel"/>
    <w:tmpl w:val="4BDC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86155"/>
    <w:multiLevelType w:val="hybridMultilevel"/>
    <w:tmpl w:val="68F63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E420B"/>
    <w:multiLevelType w:val="hybridMultilevel"/>
    <w:tmpl w:val="B16645B8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76DC"/>
    <w:multiLevelType w:val="hybridMultilevel"/>
    <w:tmpl w:val="3FE23F9A"/>
    <w:lvl w:ilvl="0" w:tplc="5776A950">
      <w:start w:val="2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4885A2F"/>
    <w:multiLevelType w:val="hybridMultilevel"/>
    <w:tmpl w:val="FD6A94E6"/>
    <w:lvl w:ilvl="0" w:tplc="46466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E6C52"/>
    <w:multiLevelType w:val="hybridMultilevel"/>
    <w:tmpl w:val="85A81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53CA"/>
    <w:multiLevelType w:val="hybridMultilevel"/>
    <w:tmpl w:val="681ED724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E77DA"/>
    <w:multiLevelType w:val="hybridMultilevel"/>
    <w:tmpl w:val="59769394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E7DFC"/>
    <w:multiLevelType w:val="hybridMultilevel"/>
    <w:tmpl w:val="25E060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CF498D"/>
    <w:multiLevelType w:val="hybridMultilevel"/>
    <w:tmpl w:val="B44E813A"/>
    <w:lvl w:ilvl="0" w:tplc="46466CE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2B43CF"/>
    <w:multiLevelType w:val="hybridMultilevel"/>
    <w:tmpl w:val="5AA62B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E5012"/>
    <w:multiLevelType w:val="hybridMultilevel"/>
    <w:tmpl w:val="16066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76A8D"/>
    <w:multiLevelType w:val="hybridMultilevel"/>
    <w:tmpl w:val="EE7E1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12E8"/>
    <w:multiLevelType w:val="hybridMultilevel"/>
    <w:tmpl w:val="6D7A4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559E3"/>
    <w:multiLevelType w:val="hybridMultilevel"/>
    <w:tmpl w:val="64B04E2E"/>
    <w:lvl w:ilvl="0" w:tplc="5776A9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EB23A6"/>
    <w:multiLevelType w:val="hybridMultilevel"/>
    <w:tmpl w:val="B06C9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454BC"/>
    <w:multiLevelType w:val="hybridMultilevel"/>
    <w:tmpl w:val="02EA1F36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1F4C"/>
    <w:multiLevelType w:val="hybridMultilevel"/>
    <w:tmpl w:val="AF9A391C"/>
    <w:lvl w:ilvl="0" w:tplc="471A103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E44C9"/>
    <w:multiLevelType w:val="hybridMultilevel"/>
    <w:tmpl w:val="24C859A0"/>
    <w:lvl w:ilvl="0" w:tplc="5776A95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0D659D"/>
    <w:multiLevelType w:val="hybridMultilevel"/>
    <w:tmpl w:val="013CC0B4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25417"/>
    <w:multiLevelType w:val="hybridMultilevel"/>
    <w:tmpl w:val="6C68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F627F"/>
    <w:multiLevelType w:val="hybridMultilevel"/>
    <w:tmpl w:val="E020DD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87A8A"/>
    <w:multiLevelType w:val="hybridMultilevel"/>
    <w:tmpl w:val="A2008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A362D"/>
    <w:multiLevelType w:val="hybridMultilevel"/>
    <w:tmpl w:val="61E26F4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E83674"/>
    <w:multiLevelType w:val="hybridMultilevel"/>
    <w:tmpl w:val="60063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045BF"/>
    <w:multiLevelType w:val="hybridMultilevel"/>
    <w:tmpl w:val="EAE03800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C7C41"/>
    <w:multiLevelType w:val="hybridMultilevel"/>
    <w:tmpl w:val="5AD637AA"/>
    <w:lvl w:ilvl="0" w:tplc="5776A9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45E34"/>
    <w:multiLevelType w:val="hybridMultilevel"/>
    <w:tmpl w:val="54001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25"/>
  </w:num>
  <w:num w:numId="4">
    <w:abstractNumId w:val="7"/>
  </w:num>
  <w:num w:numId="5">
    <w:abstractNumId w:val="35"/>
  </w:num>
  <w:num w:numId="6">
    <w:abstractNumId w:val="11"/>
  </w:num>
  <w:num w:numId="7">
    <w:abstractNumId w:val="13"/>
  </w:num>
  <w:num w:numId="8">
    <w:abstractNumId w:val="20"/>
  </w:num>
  <w:num w:numId="9">
    <w:abstractNumId w:val="33"/>
  </w:num>
  <w:num w:numId="10">
    <w:abstractNumId w:val="49"/>
  </w:num>
  <w:num w:numId="11">
    <w:abstractNumId w:val="42"/>
  </w:num>
  <w:num w:numId="12">
    <w:abstractNumId w:val="37"/>
  </w:num>
  <w:num w:numId="13">
    <w:abstractNumId w:val="39"/>
  </w:num>
  <w:num w:numId="14">
    <w:abstractNumId w:val="48"/>
  </w:num>
  <w:num w:numId="15">
    <w:abstractNumId w:val="32"/>
  </w:num>
  <w:num w:numId="16">
    <w:abstractNumId w:val="0"/>
  </w:num>
  <w:num w:numId="17">
    <w:abstractNumId w:val="12"/>
  </w:num>
  <w:num w:numId="18">
    <w:abstractNumId w:val="40"/>
  </w:num>
  <w:num w:numId="19">
    <w:abstractNumId w:val="18"/>
  </w:num>
  <w:num w:numId="20">
    <w:abstractNumId w:val="6"/>
  </w:num>
  <w:num w:numId="21">
    <w:abstractNumId w:val="26"/>
  </w:num>
  <w:num w:numId="22">
    <w:abstractNumId w:val="19"/>
  </w:num>
  <w:num w:numId="23">
    <w:abstractNumId w:val="43"/>
  </w:num>
  <w:num w:numId="24">
    <w:abstractNumId w:val="30"/>
  </w:num>
  <w:num w:numId="25">
    <w:abstractNumId w:val="9"/>
  </w:num>
  <w:num w:numId="26">
    <w:abstractNumId w:val="16"/>
  </w:num>
  <w:num w:numId="27">
    <w:abstractNumId w:val="14"/>
  </w:num>
  <w:num w:numId="28">
    <w:abstractNumId w:val="10"/>
  </w:num>
  <w:num w:numId="29">
    <w:abstractNumId w:val="2"/>
  </w:num>
  <w:num w:numId="30">
    <w:abstractNumId w:val="8"/>
  </w:num>
  <w:num w:numId="31">
    <w:abstractNumId w:val="5"/>
  </w:num>
  <w:num w:numId="32">
    <w:abstractNumId w:val="31"/>
  </w:num>
  <w:num w:numId="33">
    <w:abstractNumId w:val="29"/>
  </w:num>
  <w:num w:numId="34">
    <w:abstractNumId w:val="27"/>
  </w:num>
  <w:num w:numId="35">
    <w:abstractNumId w:val="23"/>
  </w:num>
  <w:num w:numId="36">
    <w:abstractNumId w:val="15"/>
  </w:num>
  <w:num w:numId="37">
    <w:abstractNumId w:val="38"/>
  </w:num>
  <w:num w:numId="38">
    <w:abstractNumId w:val="17"/>
  </w:num>
  <w:num w:numId="39">
    <w:abstractNumId w:val="46"/>
  </w:num>
  <w:num w:numId="40">
    <w:abstractNumId w:val="36"/>
  </w:num>
  <w:num w:numId="41">
    <w:abstractNumId w:val="28"/>
  </w:num>
  <w:num w:numId="42">
    <w:abstractNumId w:val="24"/>
  </w:num>
  <w:num w:numId="43">
    <w:abstractNumId w:val="3"/>
  </w:num>
  <w:num w:numId="44">
    <w:abstractNumId w:val="4"/>
  </w:num>
  <w:num w:numId="45">
    <w:abstractNumId w:val="45"/>
  </w:num>
  <w:num w:numId="46">
    <w:abstractNumId w:val="1"/>
  </w:num>
  <w:num w:numId="47">
    <w:abstractNumId w:val="44"/>
  </w:num>
  <w:num w:numId="48">
    <w:abstractNumId w:val="22"/>
  </w:num>
  <w:num w:numId="49">
    <w:abstractNumId w:val="34"/>
  </w:num>
  <w:num w:numId="50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029B2"/>
    <w:rsid w:val="00005E43"/>
    <w:rsid w:val="000111DB"/>
    <w:rsid w:val="0001596B"/>
    <w:rsid w:val="0001629B"/>
    <w:rsid w:val="00035215"/>
    <w:rsid w:val="00035A76"/>
    <w:rsid w:val="00040D2D"/>
    <w:rsid w:val="00045060"/>
    <w:rsid w:val="00053A70"/>
    <w:rsid w:val="00065034"/>
    <w:rsid w:val="0008185A"/>
    <w:rsid w:val="00082F07"/>
    <w:rsid w:val="00085283"/>
    <w:rsid w:val="0009087A"/>
    <w:rsid w:val="00090CEC"/>
    <w:rsid w:val="000910A2"/>
    <w:rsid w:val="000928D1"/>
    <w:rsid w:val="00094EB2"/>
    <w:rsid w:val="00096FDC"/>
    <w:rsid w:val="000A2D14"/>
    <w:rsid w:val="000A37A8"/>
    <w:rsid w:val="000A74CC"/>
    <w:rsid w:val="000C622E"/>
    <w:rsid w:val="000C6BC2"/>
    <w:rsid w:val="000C7681"/>
    <w:rsid w:val="000D404E"/>
    <w:rsid w:val="000F6705"/>
    <w:rsid w:val="000F76CC"/>
    <w:rsid w:val="00104497"/>
    <w:rsid w:val="00114026"/>
    <w:rsid w:val="00116FA6"/>
    <w:rsid w:val="0012034B"/>
    <w:rsid w:val="00122917"/>
    <w:rsid w:val="00122EE4"/>
    <w:rsid w:val="00126617"/>
    <w:rsid w:val="0013183E"/>
    <w:rsid w:val="00135B9A"/>
    <w:rsid w:val="001377CA"/>
    <w:rsid w:val="00140B5A"/>
    <w:rsid w:val="00147AE6"/>
    <w:rsid w:val="00152290"/>
    <w:rsid w:val="00161FBF"/>
    <w:rsid w:val="00163C17"/>
    <w:rsid w:val="001644F3"/>
    <w:rsid w:val="001653C7"/>
    <w:rsid w:val="001712E6"/>
    <w:rsid w:val="00171E9C"/>
    <w:rsid w:val="00193DA5"/>
    <w:rsid w:val="00196B97"/>
    <w:rsid w:val="001A20F0"/>
    <w:rsid w:val="001A3810"/>
    <w:rsid w:val="001B66EC"/>
    <w:rsid w:val="001D27B9"/>
    <w:rsid w:val="001D7831"/>
    <w:rsid w:val="001F4D9A"/>
    <w:rsid w:val="00200B00"/>
    <w:rsid w:val="002031B3"/>
    <w:rsid w:val="0020727B"/>
    <w:rsid w:val="00212285"/>
    <w:rsid w:val="00222DD1"/>
    <w:rsid w:val="00223670"/>
    <w:rsid w:val="002376CC"/>
    <w:rsid w:val="00243545"/>
    <w:rsid w:val="00250D80"/>
    <w:rsid w:val="00260C9D"/>
    <w:rsid w:val="002652F2"/>
    <w:rsid w:val="002745EE"/>
    <w:rsid w:val="0028351A"/>
    <w:rsid w:val="002A7C34"/>
    <w:rsid w:val="002B141B"/>
    <w:rsid w:val="002B47D2"/>
    <w:rsid w:val="002C161F"/>
    <w:rsid w:val="002D0C32"/>
    <w:rsid w:val="002F2F7B"/>
    <w:rsid w:val="003134F2"/>
    <w:rsid w:val="003150B4"/>
    <w:rsid w:val="0033266E"/>
    <w:rsid w:val="00337ED6"/>
    <w:rsid w:val="00340168"/>
    <w:rsid w:val="00342595"/>
    <w:rsid w:val="00342640"/>
    <w:rsid w:val="003515FC"/>
    <w:rsid w:val="003532F8"/>
    <w:rsid w:val="00364D6B"/>
    <w:rsid w:val="0037175A"/>
    <w:rsid w:val="00377F6D"/>
    <w:rsid w:val="00393AE6"/>
    <w:rsid w:val="0039715D"/>
    <w:rsid w:val="003B1400"/>
    <w:rsid w:val="003B2D9E"/>
    <w:rsid w:val="003B6F5E"/>
    <w:rsid w:val="003C1135"/>
    <w:rsid w:val="003C2D33"/>
    <w:rsid w:val="003D01D9"/>
    <w:rsid w:val="003D2ABB"/>
    <w:rsid w:val="003D7775"/>
    <w:rsid w:val="003E4A53"/>
    <w:rsid w:val="004017F0"/>
    <w:rsid w:val="00413D57"/>
    <w:rsid w:val="00420174"/>
    <w:rsid w:val="00421C2E"/>
    <w:rsid w:val="004275E7"/>
    <w:rsid w:val="00427C3E"/>
    <w:rsid w:val="00427E4A"/>
    <w:rsid w:val="00436401"/>
    <w:rsid w:val="00436EF7"/>
    <w:rsid w:val="00437BCC"/>
    <w:rsid w:val="00446998"/>
    <w:rsid w:val="00450FAA"/>
    <w:rsid w:val="00464FF7"/>
    <w:rsid w:val="00465124"/>
    <w:rsid w:val="00467F1F"/>
    <w:rsid w:val="00474BBC"/>
    <w:rsid w:val="00476565"/>
    <w:rsid w:val="00482C66"/>
    <w:rsid w:val="00490647"/>
    <w:rsid w:val="004939C1"/>
    <w:rsid w:val="004A437F"/>
    <w:rsid w:val="004A5867"/>
    <w:rsid w:val="004B3BFE"/>
    <w:rsid w:val="004B4576"/>
    <w:rsid w:val="004C39FA"/>
    <w:rsid w:val="004D195D"/>
    <w:rsid w:val="004D2196"/>
    <w:rsid w:val="004D625A"/>
    <w:rsid w:val="004E0D9D"/>
    <w:rsid w:val="004E17AD"/>
    <w:rsid w:val="004E35BF"/>
    <w:rsid w:val="004E57FD"/>
    <w:rsid w:val="004E6F1D"/>
    <w:rsid w:val="004F0DDB"/>
    <w:rsid w:val="004F37D1"/>
    <w:rsid w:val="004F7A26"/>
    <w:rsid w:val="00513958"/>
    <w:rsid w:val="00522507"/>
    <w:rsid w:val="005230C9"/>
    <w:rsid w:val="00534E7F"/>
    <w:rsid w:val="00535513"/>
    <w:rsid w:val="00543304"/>
    <w:rsid w:val="005466CD"/>
    <w:rsid w:val="0055165C"/>
    <w:rsid w:val="005608B9"/>
    <w:rsid w:val="00565C90"/>
    <w:rsid w:val="005743EF"/>
    <w:rsid w:val="00575633"/>
    <w:rsid w:val="0057654F"/>
    <w:rsid w:val="00581C27"/>
    <w:rsid w:val="00590AC1"/>
    <w:rsid w:val="00592F6E"/>
    <w:rsid w:val="0059751E"/>
    <w:rsid w:val="005A07B8"/>
    <w:rsid w:val="005A7B68"/>
    <w:rsid w:val="005B60E9"/>
    <w:rsid w:val="005C10B7"/>
    <w:rsid w:val="005C4AB9"/>
    <w:rsid w:val="005C5C6A"/>
    <w:rsid w:val="005C7CA4"/>
    <w:rsid w:val="005D1460"/>
    <w:rsid w:val="005D49C8"/>
    <w:rsid w:val="005D784F"/>
    <w:rsid w:val="005E3F54"/>
    <w:rsid w:val="005E7710"/>
    <w:rsid w:val="00611088"/>
    <w:rsid w:val="00612B57"/>
    <w:rsid w:val="00612C0A"/>
    <w:rsid w:val="006245CF"/>
    <w:rsid w:val="00632E12"/>
    <w:rsid w:val="006341AA"/>
    <w:rsid w:val="00640D01"/>
    <w:rsid w:val="006434F2"/>
    <w:rsid w:val="006466B5"/>
    <w:rsid w:val="006669CE"/>
    <w:rsid w:val="0066720A"/>
    <w:rsid w:val="0067189B"/>
    <w:rsid w:val="00674C7E"/>
    <w:rsid w:val="006825CA"/>
    <w:rsid w:val="00686224"/>
    <w:rsid w:val="00687BC9"/>
    <w:rsid w:val="00687C1E"/>
    <w:rsid w:val="006914EF"/>
    <w:rsid w:val="00693FFE"/>
    <w:rsid w:val="006A61A0"/>
    <w:rsid w:val="006B35B9"/>
    <w:rsid w:val="006B6287"/>
    <w:rsid w:val="006D018F"/>
    <w:rsid w:val="006D2216"/>
    <w:rsid w:val="006D374B"/>
    <w:rsid w:val="006D71B6"/>
    <w:rsid w:val="006E13B6"/>
    <w:rsid w:val="006E646F"/>
    <w:rsid w:val="006F5CA6"/>
    <w:rsid w:val="00703812"/>
    <w:rsid w:val="007040FB"/>
    <w:rsid w:val="00707CDE"/>
    <w:rsid w:val="0071263E"/>
    <w:rsid w:val="00712A8A"/>
    <w:rsid w:val="00714C56"/>
    <w:rsid w:val="00717BAD"/>
    <w:rsid w:val="007243F1"/>
    <w:rsid w:val="00732C72"/>
    <w:rsid w:val="0073430C"/>
    <w:rsid w:val="00745B80"/>
    <w:rsid w:val="00746E30"/>
    <w:rsid w:val="007516C4"/>
    <w:rsid w:val="00765781"/>
    <w:rsid w:val="007775ED"/>
    <w:rsid w:val="00784E10"/>
    <w:rsid w:val="007A5BC6"/>
    <w:rsid w:val="007B0944"/>
    <w:rsid w:val="007B386E"/>
    <w:rsid w:val="007B40F6"/>
    <w:rsid w:val="007B5978"/>
    <w:rsid w:val="007C779E"/>
    <w:rsid w:val="007D3D26"/>
    <w:rsid w:val="007D7383"/>
    <w:rsid w:val="007E5A1A"/>
    <w:rsid w:val="007F1187"/>
    <w:rsid w:val="007F2F4C"/>
    <w:rsid w:val="008004EE"/>
    <w:rsid w:val="00800C2E"/>
    <w:rsid w:val="008036C1"/>
    <w:rsid w:val="008057A8"/>
    <w:rsid w:val="00807B0A"/>
    <w:rsid w:val="008132ED"/>
    <w:rsid w:val="00815414"/>
    <w:rsid w:val="00826A84"/>
    <w:rsid w:val="008400C5"/>
    <w:rsid w:val="00840F24"/>
    <w:rsid w:val="00845378"/>
    <w:rsid w:val="0085242D"/>
    <w:rsid w:val="00855220"/>
    <w:rsid w:val="00855CA8"/>
    <w:rsid w:val="00856543"/>
    <w:rsid w:val="008579B1"/>
    <w:rsid w:val="00860EF0"/>
    <w:rsid w:val="008624BA"/>
    <w:rsid w:val="00867196"/>
    <w:rsid w:val="00876104"/>
    <w:rsid w:val="0088063A"/>
    <w:rsid w:val="008866C0"/>
    <w:rsid w:val="00897FA4"/>
    <w:rsid w:val="008A3016"/>
    <w:rsid w:val="008A34CB"/>
    <w:rsid w:val="008B2510"/>
    <w:rsid w:val="008C0A4D"/>
    <w:rsid w:val="008D61AF"/>
    <w:rsid w:val="008E7773"/>
    <w:rsid w:val="008F45EE"/>
    <w:rsid w:val="008F4FD3"/>
    <w:rsid w:val="0090101A"/>
    <w:rsid w:val="0090171E"/>
    <w:rsid w:val="009035EE"/>
    <w:rsid w:val="00903BB9"/>
    <w:rsid w:val="00910070"/>
    <w:rsid w:val="00945363"/>
    <w:rsid w:val="00953789"/>
    <w:rsid w:val="00971B7D"/>
    <w:rsid w:val="00971DF5"/>
    <w:rsid w:val="00974862"/>
    <w:rsid w:val="009773B0"/>
    <w:rsid w:val="00980971"/>
    <w:rsid w:val="0098468A"/>
    <w:rsid w:val="00984852"/>
    <w:rsid w:val="009975F4"/>
    <w:rsid w:val="009A5BA9"/>
    <w:rsid w:val="009B0567"/>
    <w:rsid w:val="009B0C4A"/>
    <w:rsid w:val="009B1031"/>
    <w:rsid w:val="009C009B"/>
    <w:rsid w:val="009C669C"/>
    <w:rsid w:val="009D4A6B"/>
    <w:rsid w:val="009D66BF"/>
    <w:rsid w:val="009E00F2"/>
    <w:rsid w:val="009E1156"/>
    <w:rsid w:val="009E7008"/>
    <w:rsid w:val="009E7506"/>
    <w:rsid w:val="009E7BC0"/>
    <w:rsid w:val="009F3A37"/>
    <w:rsid w:val="00A037BF"/>
    <w:rsid w:val="00A07BCC"/>
    <w:rsid w:val="00A13C2A"/>
    <w:rsid w:val="00A15B4C"/>
    <w:rsid w:val="00A26CBE"/>
    <w:rsid w:val="00A27A45"/>
    <w:rsid w:val="00A35F9E"/>
    <w:rsid w:val="00A421DB"/>
    <w:rsid w:val="00A505D4"/>
    <w:rsid w:val="00A53241"/>
    <w:rsid w:val="00A54F58"/>
    <w:rsid w:val="00A631A7"/>
    <w:rsid w:val="00A64EEE"/>
    <w:rsid w:val="00A6556C"/>
    <w:rsid w:val="00A67FED"/>
    <w:rsid w:val="00A729E9"/>
    <w:rsid w:val="00A73A43"/>
    <w:rsid w:val="00A76B42"/>
    <w:rsid w:val="00A81589"/>
    <w:rsid w:val="00A90FB7"/>
    <w:rsid w:val="00A91469"/>
    <w:rsid w:val="00AB23E1"/>
    <w:rsid w:val="00AB2B2B"/>
    <w:rsid w:val="00AB4DC2"/>
    <w:rsid w:val="00AB616F"/>
    <w:rsid w:val="00AB6F2C"/>
    <w:rsid w:val="00AB6F8B"/>
    <w:rsid w:val="00AB7592"/>
    <w:rsid w:val="00AC3248"/>
    <w:rsid w:val="00AC3D34"/>
    <w:rsid w:val="00AC5C94"/>
    <w:rsid w:val="00AC7B86"/>
    <w:rsid w:val="00AD0F9B"/>
    <w:rsid w:val="00AD3452"/>
    <w:rsid w:val="00AE055F"/>
    <w:rsid w:val="00AE4B64"/>
    <w:rsid w:val="00AF34E0"/>
    <w:rsid w:val="00AF571D"/>
    <w:rsid w:val="00B008E2"/>
    <w:rsid w:val="00B04591"/>
    <w:rsid w:val="00B04EE7"/>
    <w:rsid w:val="00B052EE"/>
    <w:rsid w:val="00B11298"/>
    <w:rsid w:val="00B170EB"/>
    <w:rsid w:val="00B22463"/>
    <w:rsid w:val="00B22727"/>
    <w:rsid w:val="00B37076"/>
    <w:rsid w:val="00B513F5"/>
    <w:rsid w:val="00B61294"/>
    <w:rsid w:val="00B63855"/>
    <w:rsid w:val="00B76123"/>
    <w:rsid w:val="00B77E2E"/>
    <w:rsid w:val="00B965D6"/>
    <w:rsid w:val="00B96DBC"/>
    <w:rsid w:val="00BA6F52"/>
    <w:rsid w:val="00BA734F"/>
    <w:rsid w:val="00BB1C48"/>
    <w:rsid w:val="00BC20FD"/>
    <w:rsid w:val="00BC2ECB"/>
    <w:rsid w:val="00BC44C4"/>
    <w:rsid w:val="00BC5829"/>
    <w:rsid w:val="00BD0D29"/>
    <w:rsid w:val="00BD4629"/>
    <w:rsid w:val="00BE06A4"/>
    <w:rsid w:val="00BE4D30"/>
    <w:rsid w:val="00BE5237"/>
    <w:rsid w:val="00BF6258"/>
    <w:rsid w:val="00BF731E"/>
    <w:rsid w:val="00C06B04"/>
    <w:rsid w:val="00C115EB"/>
    <w:rsid w:val="00C1231F"/>
    <w:rsid w:val="00C17722"/>
    <w:rsid w:val="00C23725"/>
    <w:rsid w:val="00C253F2"/>
    <w:rsid w:val="00C2597C"/>
    <w:rsid w:val="00C348D4"/>
    <w:rsid w:val="00C440D3"/>
    <w:rsid w:val="00C5776C"/>
    <w:rsid w:val="00C61562"/>
    <w:rsid w:val="00C648CE"/>
    <w:rsid w:val="00C658CF"/>
    <w:rsid w:val="00C73147"/>
    <w:rsid w:val="00C75069"/>
    <w:rsid w:val="00C871F5"/>
    <w:rsid w:val="00C87EE9"/>
    <w:rsid w:val="00C918C3"/>
    <w:rsid w:val="00C95D36"/>
    <w:rsid w:val="00CA3422"/>
    <w:rsid w:val="00CA5629"/>
    <w:rsid w:val="00CC39B2"/>
    <w:rsid w:val="00CC56BF"/>
    <w:rsid w:val="00CC5DCB"/>
    <w:rsid w:val="00CC6CA8"/>
    <w:rsid w:val="00CC77ED"/>
    <w:rsid w:val="00CD5808"/>
    <w:rsid w:val="00CD68A2"/>
    <w:rsid w:val="00CE6D0C"/>
    <w:rsid w:val="00CE7613"/>
    <w:rsid w:val="00CF1CFD"/>
    <w:rsid w:val="00CF47DE"/>
    <w:rsid w:val="00D0121A"/>
    <w:rsid w:val="00D04CD8"/>
    <w:rsid w:val="00D10140"/>
    <w:rsid w:val="00D11DE0"/>
    <w:rsid w:val="00D123D3"/>
    <w:rsid w:val="00D1364C"/>
    <w:rsid w:val="00D1380A"/>
    <w:rsid w:val="00D1631D"/>
    <w:rsid w:val="00D332E1"/>
    <w:rsid w:val="00D35793"/>
    <w:rsid w:val="00D37888"/>
    <w:rsid w:val="00D459B8"/>
    <w:rsid w:val="00D4650E"/>
    <w:rsid w:val="00D4659B"/>
    <w:rsid w:val="00D514FF"/>
    <w:rsid w:val="00D64DB7"/>
    <w:rsid w:val="00D70A35"/>
    <w:rsid w:val="00D75CF9"/>
    <w:rsid w:val="00D77ADF"/>
    <w:rsid w:val="00D820C8"/>
    <w:rsid w:val="00D86747"/>
    <w:rsid w:val="00D86ED0"/>
    <w:rsid w:val="00D92094"/>
    <w:rsid w:val="00D946C2"/>
    <w:rsid w:val="00D947A4"/>
    <w:rsid w:val="00DA4E39"/>
    <w:rsid w:val="00DC4538"/>
    <w:rsid w:val="00DC5307"/>
    <w:rsid w:val="00DC76D2"/>
    <w:rsid w:val="00DF12CA"/>
    <w:rsid w:val="00DF50E7"/>
    <w:rsid w:val="00DF5346"/>
    <w:rsid w:val="00E04BF1"/>
    <w:rsid w:val="00E06B81"/>
    <w:rsid w:val="00E1110E"/>
    <w:rsid w:val="00E11EA3"/>
    <w:rsid w:val="00E21D2F"/>
    <w:rsid w:val="00E30129"/>
    <w:rsid w:val="00E32F0A"/>
    <w:rsid w:val="00E36906"/>
    <w:rsid w:val="00E37335"/>
    <w:rsid w:val="00E4103C"/>
    <w:rsid w:val="00E417B1"/>
    <w:rsid w:val="00E6288A"/>
    <w:rsid w:val="00E7544F"/>
    <w:rsid w:val="00E778C0"/>
    <w:rsid w:val="00E77D13"/>
    <w:rsid w:val="00E82137"/>
    <w:rsid w:val="00E854A0"/>
    <w:rsid w:val="00E8606C"/>
    <w:rsid w:val="00E90404"/>
    <w:rsid w:val="00E9678C"/>
    <w:rsid w:val="00EA03C5"/>
    <w:rsid w:val="00EB22C0"/>
    <w:rsid w:val="00EB251E"/>
    <w:rsid w:val="00EB3CE3"/>
    <w:rsid w:val="00EC6885"/>
    <w:rsid w:val="00ED37EF"/>
    <w:rsid w:val="00ED4CC6"/>
    <w:rsid w:val="00ED6444"/>
    <w:rsid w:val="00EE1F0D"/>
    <w:rsid w:val="00EE45E0"/>
    <w:rsid w:val="00EF2BB7"/>
    <w:rsid w:val="00EF5283"/>
    <w:rsid w:val="00F016FF"/>
    <w:rsid w:val="00F01C9E"/>
    <w:rsid w:val="00F128AE"/>
    <w:rsid w:val="00F130FC"/>
    <w:rsid w:val="00F14075"/>
    <w:rsid w:val="00F15707"/>
    <w:rsid w:val="00F16E66"/>
    <w:rsid w:val="00F2421A"/>
    <w:rsid w:val="00F25C10"/>
    <w:rsid w:val="00F3750C"/>
    <w:rsid w:val="00F44648"/>
    <w:rsid w:val="00F4505A"/>
    <w:rsid w:val="00F51E0D"/>
    <w:rsid w:val="00F56B5B"/>
    <w:rsid w:val="00F62980"/>
    <w:rsid w:val="00F63EF8"/>
    <w:rsid w:val="00F81B91"/>
    <w:rsid w:val="00F85EF7"/>
    <w:rsid w:val="00F94DF4"/>
    <w:rsid w:val="00F9537F"/>
    <w:rsid w:val="00FA6234"/>
    <w:rsid w:val="00FB6F10"/>
    <w:rsid w:val="00FC172A"/>
    <w:rsid w:val="00FC5700"/>
    <w:rsid w:val="00FC5989"/>
    <w:rsid w:val="00FD654B"/>
    <w:rsid w:val="00FE17D9"/>
    <w:rsid w:val="00FE187B"/>
    <w:rsid w:val="00FE35BA"/>
    <w:rsid w:val="00FE701D"/>
    <w:rsid w:val="00FE705F"/>
    <w:rsid w:val="00FF3178"/>
    <w:rsid w:val="00FF36F0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16D49A79-98E6-47E6-B292-48F27208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B64"/>
    <w:rPr>
      <w:sz w:val="24"/>
      <w:szCs w:val="24"/>
    </w:rPr>
  </w:style>
  <w:style w:type="paragraph" w:styleId="Titolo1">
    <w:name w:val="heading 1"/>
    <w:basedOn w:val="Normale"/>
    <w:link w:val="Titolo1Carattere"/>
    <w:autoRedefine/>
    <w:uiPriority w:val="9"/>
    <w:qFormat/>
    <w:rsid w:val="00A53241"/>
    <w:pPr>
      <w:spacing w:before="100" w:beforeAutospacing="1" w:after="100" w:afterAutospacing="1"/>
      <w:outlineLvl w:val="0"/>
    </w:pPr>
    <w:rPr>
      <w:rFonts w:asciiTheme="minorHAnsi" w:eastAsiaTheme="minorHAnsi" w:hAnsiTheme="minorHAnsi"/>
      <w:b/>
      <w:bCs/>
      <w:kern w:val="36"/>
      <w:szCs w:val="48"/>
      <w:bdr w:val="none" w:sz="0" w:space="0" w:color="auto" w:frame="1"/>
      <w:lang w:eastAsia="en-US"/>
    </w:rPr>
  </w:style>
  <w:style w:type="paragraph" w:styleId="Titolo2">
    <w:name w:val="heading 2"/>
    <w:basedOn w:val="Normale"/>
    <w:link w:val="Titolo2Carattere"/>
    <w:autoRedefine/>
    <w:uiPriority w:val="9"/>
    <w:qFormat/>
    <w:rsid w:val="00A505D4"/>
    <w:pPr>
      <w:spacing w:before="100" w:beforeAutospacing="1" w:after="100" w:afterAutospacing="1"/>
      <w:outlineLvl w:val="1"/>
    </w:pPr>
    <w:rPr>
      <w:rFonts w:asciiTheme="minorHAnsi" w:eastAsiaTheme="minorHAnsi" w:hAnsiTheme="minorHAnsi"/>
      <w:bCs/>
      <w:i/>
      <w:szCs w:val="36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224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53241"/>
    <w:rPr>
      <w:rFonts w:asciiTheme="minorHAnsi" w:eastAsiaTheme="minorHAnsi" w:hAnsiTheme="minorHAnsi"/>
      <w:b/>
      <w:bCs/>
      <w:kern w:val="36"/>
      <w:sz w:val="24"/>
      <w:szCs w:val="48"/>
      <w:bdr w:val="none" w:sz="0" w:space="0" w:color="auto" w:frame="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505D4"/>
    <w:rPr>
      <w:rFonts w:asciiTheme="minorHAnsi" w:eastAsiaTheme="minorHAnsi" w:hAnsiTheme="minorHAnsi"/>
      <w:bCs/>
      <w:i/>
      <w:sz w:val="24"/>
      <w:szCs w:val="3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AE4B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4B64"/>
  </w:style>
  <w:style w:type="character" w:styleId="Rimandonotaapidipagina">
    <w:name w:val="footnote reference"/>
    <w:basedOn w:val="Carpredefinitoparagrafo"/>
    <w:unhideWhenUsed/>
    <w:rsid w:val="00AE4B6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00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00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00C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0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0C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E13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E13B6"/>
    <w:rPr>
      <w:i/>
      <w:i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2246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TableGrid">
    <w:name w:val="TableGrid"/>
    <w:rsid w:val="00B2246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C17722"/>
  </w:style>
  <w:style w:type="table" w:customStyle="1" w:styleId="Grigliatabella1">
    <w:name w:val="Griglia tabella1"/>
    <w:basedOn w:val="Tabellanormale"/>
    <w:next w:val="Grigliatabella"/>
    <w:uiPriority w:val="59"/>
    <w:rsid w:val="00C17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77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1772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C177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C177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7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5189765432507051242gmail-il">
    <w:name w:val="m_5189765432507051242gmail-il"/>
    <w:basedOn w:val="Carpredefinitoparagrafo"/>
    <w:rsid w:val="00C17722"/>
  </w:style>
  <w:style w:type="paragraph" w:styleId="Revisione">
    <w:name w:val="Revision"/>
    <w:hidden/>
    <w:uiPriority w:val="99"/>
    <w:semiHidden/>
    <w:rsid w:val="00C177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C177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essunelenco2">
    <w:name w:val="Nessun elenco2"/>
    <w:next w:val="Nessunelenco"/>
    <w:uiPriority w:val="99"/>
    <w:semiHidden/>
    <w:unhideWhenUsed/>
    <w:rsid w:val="00910070"/>
  </w:style>
  <w:style w:type="numbering" w:customStyle="1" w:styleId="Nessunelenco11">
    <w:name w:val="Nessun elenco11"/>
    <w:next w:val="Nessunelenco"/>
    <w:uiPriority w:val="99"/>
    <w:semiHidden/>
    <w:unhideWhenUsed/>
    <w:rsid w:val="0091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rui.it/crui/cnudd/Llinee_guida_CNUDD/LINEE_GUIDA_CNUDD_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fe.it/ateneo/organi-universitari/statuto-e-regolamenti/carta-dei-servizi-disab-d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A3D34-5307-4523-A2EB-F187CE9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</dc:creator>
  <cp:keywords/>
  <dc:description/>
  <cp:lastModifiedBy>normativa@</cp:lastModifiedBy>
  <cp:revision>5</cp:revision>
  <cp:lastPrinted>2018-03-08T06:58:00Z</cp:lastPrinted>
  <dcterms:created xsi:type="dcterms:W3CDTF">2018-11-01T05:26:00Z</dcterms:created>
  <dcterms:modified xsi:type="dcterms:W3CDTF">2018-11-01T05:39:00Z</dcterms:modified>
</cp:coreProperties>
</file>